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6D" w:rsidRDefault="0077246D" w:rsidP="008E3BA7">
      <w:pPr>
        <w:pStyle w:val="Heading1"/>
        <w:jc w:val="right"/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</w:pPr>
      <w:bookmarkStart w:id="0" w:name="_Toc18929589"/>
    </w:p>
    <w:p w:rsidR="00392CA1" w:rsidRPr="00CE2611" w:rsidRDefault="008E3BA7" w:rsidP="008E3BA7">
      <w:pPr>
        <w:pStyle w:val="Heading1"/>
        <w:jc w:val="right"/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</w:pPr>
      <w:r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  <w:t>NACRT</w:t>
      </w:r>
    </w:p>
    <w:p w:rsidR="006F3CDD" w:rsidRPr="00CE2611" w:rsidRDefault="00546507" w:rsidP="00546507">
      <w:pPr>
        <w:pStyle w:val="Heading1"/>
        <w:jc w:val="center"/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</w:pPr>
      <w:r w:rsidRPr="00CE2611"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  <w:t xml:space="preserve">LOKALNI AKCIONI </w:t>
      </w:r>
    </w:p>
    <w:p w:rsidR="006F3CDD" w:rsidRPr="00CE2611" w:rsidRDefault="00546507" w:rsidP="00546507">
      <w:pPr>
        <w:pStyle w:val="Heading1"/>
        <w:jc w:val="center"/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</w:pPr>
      <w:r w:rsidRPr="00CE2611">
        <w:rPr>
          <w:rFonts w:ascii="Garamond" w:hAnsi="Garamond"/>
          <w:b/>
          <w:noProof/>
          <w:color w:val="0D0D0D" w:themeColor="text1" w:themeTint="F2"/>
          <w:sz w:val="52"/>
          <w:szCs w:val="52"/>
          <w:lang w:val="sr-Latn-RS"/>
        </w:rPr>
        <w:t xml:space="preserve">PLAN ZA MLADE </w:t>
      </w:r>
    </w:p>
    <w:p w:rsidR="00546507" w:rsidRPr="00CE2611" w:rsidRDefault="00546507" w:rsidP="00546507">
      <w:pPr>
        <w:pStyle w:val="Heading1"/>
        <w:jc w:val="center"/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</w:pPr>
      <w:r w:rsidRPr="00CE2611"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  <w:t xml:space="preserve">za </w:t>
      </w:r>
    </w:p>
    <w:p w:rsidR="00546507" w:rsidRPr="00CE2611" w:rsidRDefault="00546507" w:rsidP="00546507">
      <w:pPr>
        <w:pStyle w:val="Heading1"/>
        <w:jc w:val="center"/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</w:pPr>
      <w:r w:rsidRPr="00CE2611"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  <w:t>2020.</w:t>
      </w:r>
      <w:r w:rsidR="008A3E87"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  <w:t xml:space="preserve"> </w:t>
      </w:r>
      <w:r w:rsidRPr="00CE2611"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  <w:t>god</w:t>
      </w:r>
      <w:bookmarkEnd w:id="0"/>
      <w:r w:rsidR="008E3BA7">
        <w:rPr>
          <w:rFonts w:ascii="Garamond" w:hAnsi="Garamond"/>
          <w:b/>
          <w:color w:val="0D0D0D" w:themeColor="text1" w:themeTint="F2"/>
          <w:sz w:val="52"/>
          <w:szCs w:val="52"/>
          <w:lang w:val="sr-Latn-RS"/>
        </w:rPr>
        <w:t>inu</w:t>
      </w:r>
    </w:p>
    <w:p w:rsidR="00392CA1" w:rsidRPr="00CE2611" w:rsidRDefault="00392CA1" w:rsidP="00392CA1">
      <w:pPr>
        <w:rPr>
          <w:rFonts w:ascii="Garamond" w:hAnsi="Garamond"/>
          <w:sz w:val="52"/>
          <w:szCs w:val="52"/>
          <w:lang w:val="sr-Latn-RS"/>
        </w:rPr>
      </w:pPr>
    </w:p>
    <w:p w:rsidR="00392CA1" w:rsidRPr="00CE2611" w:rsidRDefault="00392CA1" w:rsidP="00392CA1">
      <w:pPr>
        <w:rPr>
          <w:rFonts w:ascii="Garamond" w:hAnsi="Garamond"/>
          <w:sz w:val="52"/>
          <w:szCs w:val="52"/>
          <w:lang w:val="sr-Latn-RS"/>
        </w:rPr>
      </w:pPr>
    </w:p>
    <w:p w:rsidR="00392CA1" w:rsidRPr="00CE2611" w:rsidRDefault="00392CA1" w:rsidP="00392CA1">
      <w:pPr>
        <w:rPr>
          <w:rFonts w:ascii="Garamond" w:hAnsi="Garamond"/>
          <w:sz w:val="52"/>
          <w:szCs w:val="52"/>
          <w:lang w:val="sr-Latn-RS"/>
        </w:rPr>
      </w:pPr>
    </w:p>
    <w:p w:rsidR="00392CA1" w:rsidRDefault="00392CA1" w:rsidP="00392CA1">
      <w:pPr>
        <w:rPr>
          <w:rFonts w:ascii="Garamond" w:hAnsi="Garamond"/>
          <w:sz w:val="52"/>
          <w:szCs w:val="52"/>
          <w:lang w:val="sr-Latn-RS"/>
        </w:rPr>
      </w:pPr>
    </w:p>
    <w:p w:rsidR="00E55935" w:rsidRDefault="00E55935" w:rsidP="00392CA1">
      <w:pPr>
        <w:rPr>
          <w:rFonts w:ascii="Garamond" w:hAnsi="Garamond"/>
          <w:sz w:val="52"/>
          <w:szCs w:val="52"/>
          <w:lang w:val="sr-Latn-RS"/>
        </w:rPr>
      </w:pPr>
    </w:p>
    <w:p w:rsidR="00E55935" w:rsidRPr="00CE2611" w:rsidRDefault="00E55935" w:rsidP="00392CA1">
      <w:pPr>
        <w:rPr>
          <w:rFonts w:ascii="Garamond" w:hAnsi="Garamond"/>
          <w:sz w:val="52"/>
          <w:szCs w:val="52"/>
          <w:lang w:val="sr-Latn-RS"/>
        </w:rPr>
      </w:pPr>
    </w:p>
    <w:p w:rsidR="00CE2611" w:rsidRPr="00CE2611" w:rsidRDefault="00CE2611" w:rsidP="00392CA1">
      <w:pPr>
        <w:jc w:val="center"/>
        <w:rPr>
          <w:rFonts w:ascii="Garamond" w:hAnsi="Garamond"/>
          <w:noProof/>
          <w:sz w:val="52"/>
          <w:szCs w:val="52"/>
          <w:lang w:val="sr-Latn-RS"/>
        </w:rPr>
      </w:pPr>
    </w:p>
    <w:p w:rsidR="00CE2611" w:rsidRPr="00CE2611" w:rsidRDefault="00392CA1" w:rsidP="00CE2611">
      <w:pPr>
        <w:jc w:val="center"/>
        <w:rPr>
          <w:rFonts w:ascii="Garamond" w:hAnsi="Garamond"/>
          <w:noProof/>
          <w:sz w:val="52"/>
          <w:szCs w:val="52"/>
          <w:lang w:val="sr-Latn-RS"/>
        </w:rPr>
      </w:pPr>
      <w:r w:rsidRPr="00CE2611">
        <w:rPr>
          <w:rFonts w:ascii="Garamond" w:hAnsi="Garamond"/>
          <w:noProof/>
          <w:sz w:val="52"/>
          <w:szCs w:val="52"/>
          <w:lang w:val="sr-Latn-RS"/>
        </w:rPr>
        <w:t>Oktobar 2019</w:t>
      </w:r>
      <w:r w:rsidR="008A3E87">
        <w:rPr>
          <w:rFonts w:ascii="Garamond" w:hAnsi="Garamond"/>
          <w:noProof/>
          <w:sz w:val="52"/>
          <w:szCs w:val="52"/>
          <w:lang w:val="sr-Latn-RS"/>
        </w:rPr>
        <w:t>.</w:t>
      </w:r>
    </w:p>
    <w:p w:rsidR="00270D5F" w:rsidRPr="00D94C1C" w:rsidRDefault="00270D5F" w:rsidP="00D94C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270D5F" w:rsidRDefault="00270D5F" w:rsidP="008E3BA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E3BA7" w:rsidRPr="00E55935" w:rsidRDefault="008E3BA7" w:rsidP="00E55935">
      <w:pPr>
        <w:pStyle w:val="Heading30"/>
        <w:keepNext/>
        <w:keepLines/>
        <w:shd w:val="clear" w:color="auto" w:fill="auto"/>
        <w:tabs>
          <w:tab w:val="left" w:pos="736"/>
        </w:tabs>
        <w:spacing w:after="523" w:line="220" w:lineRule="exact"/>
        <w:jc w:val="center"/>
        <w:rPr>
          <w:rFonts w:ascii="Garamond" w:hAnsi="Garamond"/>
          <w:sz w:val="28"/>
          <w:szCs w:val="28"/>
          <w:lang w:val="sr-Latn-RS"/>
        </w:rPr>
      </w:pPr>
    </w:p>
    <w:p w:rsidR="00E55935" w:rsidRPr="00E55935" w:rsidRDefault="00E55935" w:rsidP="00E55935">
      <w:pPr>
        <w:pStyle w:val="Heading30"/>
        <w:keepNext/>
        <w:keepLines/>
        <w:shd w:val="clear" w:color="auto" w:fill="auto"/>
        <w:tabs>
          <w:tab w:val="left" w:pos="736"/>
        </w:tabs>
        <w:spacing w:after="523" w:line="220" w:lineRule="exact"/>
        <w:ind w:left="400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Šta je lokalni akcioni plan za mlade?</w:t>
      </w:r>
    </w:p>
    <w:p w:rsidR="00CE2611" w:rsidRPr="00E55935" w:rsidRDefault="00CE2611" w:rsidP="00CE2611">
      <w:pPr>
        <w:ind w:firstLine="580"/>
        <w:jc w:val="both"/>
        <w:rPr>
          <w:rFonts w:ascii="Garamond" w:hAnsi="Garamond" w:cstheme="minorHAnsi"/>
          <w:sz w:val="28"/>
          <w:szCs w:val="28"/>
          <w:lang w:val="sr-Latn-RS"/>
        </w:rPr>
      </w:pPr>
      <w:r w:rsidRPr="00E55935">
        <w:rPr>
          <w:rFonts w:ascii="Garamond" w:hAnsi="Garamond" w:cstheme="minorHAnsi"/>
          <w:sz w:val="28"/>
          <w:szCs w:val="28"/>
          <w:lang w:val="sr-Latn-RS"/>
        </w:rPr>
        <w:t>Lokalni akcioni plan za mlade predstavlja razvojni dokument kojim se sprovodi briga o mladima u cilju poboljšanja položaja mladih u našoj opštini. Ovaj dokument utvrđuje cjelovitu i usklađenu politiku prema mladima i radni plan zadataka u sprovođenju akcionog plana. U interesu mladih je da sve jedinice lokalne samouprave, institucije, sva udruženja građana i ostali subjekti društvene zajednice međusobnom saradnjom i zajedničkim djelovanjem doprinesu postizanju zajedničkih ciljeva.</w:t>
      </w:r>
    </w:p>
    <w:p w:rsidR="00CE2611" w:rsidRPr="00E55935" w:rsidRDefault="00CE2611" w:rsidP="00CE2611">
      <w:pPr>
        <w:ind w:firstLine="580"/>
        <w:jc w:val="both"/>
        <w:rPr>
          <w:rFonts w:ascii="Garamond" w:hAnsi="Garamond" w:cstheme="minorHAnsi"/>
          <w:sz w:val="28"/>
          <w:szCs w:val="28"/>
          <w:lang w:val="sr-Latn-RS"/>
        </w:rPr>
      </w:pPr>
      <w:r w:rsidRPr="00E55935">
        <w:rPr>
          <w:rFonts w:ascii="Garamond" w:hAnsi="Garamond" w:cstheme="minorHAnsi"/>
          <w:sz w:val="28"/>
          <w:szCs w:val="28"/>
          <w:lang w:val="sr-Latn-RS"/>
        </w:rPr>
        <w:t>Lokalni plan pokriva sljedeće oblasti: obrazovanje, zapošljavanje</w:t>
      </w:r>
      <w:r w:rsidR="00E55935">
        <w:rPr>
          <w:rFonts w:ascii="Garamond" w:hAnsi="Garamond" w:cstheme="minorHAnsi"/>
          <w:sz w:val="28"/>
          <w:szCs w:val="28"/>
          <w:lang w:val="sr-Latn-RS"/>
        </w:rPr>
        <w:t>, aktivnost mladih, zdravlje i porodica, mediji i</w:t>
      </w:r>
      <w:r w:rsidRPr="00E55935">
        <w:rPr>
          <w:rFonts w:ascii="Garamond" w:hAnsi="Garamond" w:cstheme="minorHAnsi"/>
          <w:sz w:val="28"/>
          <w:szCs w:val="28"/>
          <w:lang w:val="sr-Latn-RS"/>
        </w:rPr>
        <w:t xml:space="preserve"> učešće mladih u životu društva i informisanost i mobilnost mladih. Prilikom izrade Lokalnog plana vodilo se računa da sve planirane aktivnosti iz navedenih oblasti budu realne i sa mogućnošću realizacije u planiranim vremenskim okvirima. Ovaj dokument sadrži analizu trenutne situacije (relevantnih subjekata i potreba mladih</w:t>
      </w:r>
      <w:r w:rsidRPr="00E55935">
        <w:rPr>
          <w:rStyle w:val="Bodytext2"/>
          <w:rFonts w:ascii="Garamond" w:hAnsi="Garamond" w:cstheme="minorHAnsi"/>
          <w:sz w:val="28"/>
          <w:szCs w:val="28"/>
          <w:lang w:val="sr-Latn-RS"/>
        </w:rPr>
        <w:t xml:space="preserve"> </w:t>
      </w:r>
      <w:r w:rsidRPr="00E55935">
        <w:rPr>
          <w:rFonts w:ascii="Garamond" w:hAnsi="Garamond" w:cstheme="minorHAnsi"/>
          <w:sz w:val="28"/>
          <w:szCs w:val="28"/>
          <w:lang w:val="sr-Latn-RS"/>
        </w:rPr>
        <w:t>), u kojem su navedeni prepoznati problemi, ciljevi i aktivnosti za rješavanje problema, nosioci aktivnosti, vremenski rok za realizaciju i indikatori (pokazatelji) uspješnosti realizacije svih navedenih aktivnosti.</w:t>
      </w:r>
    </w:p>
    <w:p w:rsidR="00CE2611" w:rsidRDefault="00CE2611" w:rsidP="00E55935">
      <w:pPr>
        <w:ind w:firstLine="580"/>
        <w:jc w:val="both"/>
        <w:rPr>
          <w:rFonts w:ascii="Garamond" w:hAnsi="Garamond" w:cstheme="minorHAnsi"/>
          <w:sz w:val="28"/>
          <w:szCs w:val="28"/>
          <w:lang w:val="sr-Latn-RS"/>
        </w:rPr>
      </w:pPr>
      <w:r w:rsidRPr="00E55935">
        <w:rPr>
          <w:rFonts w:ascii="Garamond" w:hAnsi="Garamond" w:cstheme="minorHAnsi"/>
          <w:sz w:val="28"/>
          <w:szCs w:val="28"/>
          <w:lang w:val="sr-Latn-RS"/>
        </w:rPr>
        <w:t>LOKALNI AKCIONI PLAN ZA MLADE opštine Plav je u skladu sa nekoliko važnih evropskih i svjetskih dokumenata, koji određuju strateške pravce razvoja mladih: „Bijela knjiga" (Evropski parlament), „Evropska povelja o učešću mladih na lokalnom i regionalnom nivou" (Kongres lokalnih i regionalnih vlasti Evrope), „Nacionalna politika za mlade", kao radni dokument i dodatak dokumentu „Obrazovanje mladih ljudi: Izjava za 21. vijek", „Jedanaest indikatora za razvoj nacionalne str</w:t>
      </w:r>
      <w:r w:rsidR="00E55935" w:rsidRPr="00E55935">
        <w:rPr>
          <w:rFonts w:ascii="Garamond" w:hAnsi="Garamond" w:cstheme="minorHAnsi"/>
          <w:sz w:val="28"/>
          <w:szCs w:val="28"/>
          <w:lang w:val="sr-Latn-RS"/>
        </w:rPr>
        <w:t>ategije i politike za omladinu" kao i u skladu sa nacionalnom strategijom i Zakonom o mladima.</w:t>
      </w:r>
    </w:p>
    <w:p w:rsidR="00E55935" w:rsidRDefault="00E55935" w:rsidP="00CE2611">
      <w:pPr>
        <w:ind w:firstLine="580"/>
        <w:rPr>
          <w:rFonts w:ascii="Garamond" w:hAnsi="Garamond" w:cstheme="minorHAnsi"/>
          <w:sz w:val="28"/>
          <w:szCs w:val="28"/>
          <w:lang w:val="sr-Latn-RS"/>
        </w:rPr>
      </w:pPr>
    </w:p>
    <w:p w:rsidR="00E55935" w:rsidRPr="00E55935" w:rsidRDefault="008A3E87" w:rsidP="00E55935">
      <w:pPr>
        <w:pStyle w:val="ListParagraph"/>
        <w:rPr>
          <w:rFonts w:ascii="Garamond" w:hAnsi="Garamond" w:cstheme="minorHAnsi"/>
          <w:b/>
          <w:sz w:val="28"/>
          <w:szCs w:val="28"/>
          <w:lang w:val="sr-Latn-RS"/>
        </w:rPr>
      </w:pPr>
      <w:r>
        <w:rPr>
          <w:rFonts w:ascii="Garamond" w:hAnsi="Garamond" w:cstheme="minorHAnsi"/>
          <w:b/>
          <w:sz w:val="28"/>
          <w:szCs w:val="28"/>
          <w:lang w:val="sr-Latn-RS"/>
        </w:rPr>
        <w:t>Definic</w:t>
      </w:r>
      <w:r w:rsidR="00E55935" w:rsidRPr="00E55935">
        <w:rPr>
          <w:rFonts w:ascii="Garamond" w:hAnsi="Garamond" w:cstheme="minorHAnsi"/>
          <w:b/>
          <w:sz w:val="28"/>
          <w:szCs w:val="28"/>
          <w:lang w:val="sr-Latn-RS"/>
        </w:rPr>
        <w:t>ija pojma mladih</w:t>
      </w:r>
    </w:p>
    <w:p w:rsidR="00E55935" w:rsidRDefault="00CE2611" w:rsidP="00E55935">
      <w:pPr>
        <w:ind w:firstLine="720"/>
        <w:jc w:val="both"/>
        <w:rPr>
          <w:rFonts w:ascii="Garamond" w:hAnsi="Garamond" w:cstheme="minorHAnsi"/>
          <w:sz w:val="28"/>
          <w:szCs w:val="28"/>
          <w:lang w:val="sr-Latn-RS"/>
        </w:rPr>
      </w:pPr>
      <w:r w:rsidRPr="00E55935">
        <w:rPr>
          <w:rFonts w:ascii="Garamond" w:hAnsi="Garamond" w:cstheme="minorHAnsi"/>
          <w:sz w:val="28"/>
          <w:szCs w:val="28"/>
          <w:lang w:val="sr-Latn-RS"/>
        </w:rPr>
        <w:t>Pojam „mladi" opisuje fazu života između djetinjstva i odraslog doba.</w:t>
      </w:r>
      <w:r w:rsidR="00E55935" w:rsidRPr="00E55935">
        <w:rPr>
          <w:rFonts w:ascii="Garamond" w:hAnsi="Garamond" w:cstheme="minorHAnsi"/>
          <w:sz w:val="28"/>
          <w:szCs w:val="28"/>
          <w:lang w:val="sr-Latn-RS"/>
        </w:rPr>
        <w:t xml:space="preserve"> </w:t>
      </w:r>
      <w:r w:rsidR="00E55935" w:rsidRPr="00E55935">
        <w:rPr>
          <w:rFonts w:ascii="Garamond" w:hAnsi="Garamond" w:cs="Calibri"/>
          <w:sz w:val="28"/>
          <w:szCs w:val="28"/>
          <w:lang w:val="sr-Latn-RS"/>
        </w:rPr>
        <w:t>Mladi su  lica od navršenih 15 do navršenih 30 godina života</w:t>
      </w:r>
      <w:r w:rsidR="00E55935" w:rsidRPr="00E55935">
        <w:rPr>
          <w:rFonts w:ascii="Calibri" w:hAnsi="Calibri" w:cs="Calibri"/>
          <w:sz w:val="28"/>
          <w:szCs w:val="28"/>
          <w:lang w:val="sr-Latn-RS"/>
        </w:rPr>
        <w:t>.</w:t>
      </w:r>
      <w:r w:rsidRPr="00E55935">
        <w:rPr>
          <w:rFonts w:ascii="Garamond" w:hAnsi="Garamond" w:cstheme="minorHAnsi"/>
          <w:sz w:val="28"/>
          <w:szCs w:val="28"/>
          <w:lang w:val="sr-Latn-RS"/>
        </w:rPr>
        <w:t xml:space="preserve"> Mladost je posebno životno razdoblje u kojem se uz biološko i psihičko sazrijevanje odvija i proces uključivanja pojedinca u društvenu zajednicu. Dostizanje socijalne zrelosti ne zavisi samo od mladih, nego i od sveopštih mogućnosti koje im društvo pruža kako bi dostigli socijalnu zrelost. Stoga imamo različito definisanje starosnih granica mladih jer mogućnosti variraju od države do države. Prema Ujedinjenim nacijama i Svjetsko</w:t>
      </w:r>
      <w:r w:rsidR="00E55935" w:rsidRPr="00E55935">
        <w:rPr>
          <w:rFonts w:ascii="Garamond" w:hAnsi="Garamond" w:cstheme="minorHAnsi"/>
          <w:sz w:val="28"/>
          <w:szCs w:val="28"/>
          <w:lang w:val="sr-Latn-RS"/>
        </w:rPr>
        <w:t>j banci, mladi su osobe od 15-30</w:t>
      </w:r>
      <w:r w:rsidRPr="00E55935">
        <w:rPr>
          <w:rFonts w:ascii="Garamond" w:hAnsi="Garamond" w:cstheme="minorHAnsi"/>
          <w:sz w:val="28"/>
          <w:szCs w:val="28"/>
          <w:lang w:val="sr-Latn-RS"/>
        </w:rPr>
        <w:t xml:space="preserve"> godine.</w:t>
      </w:r>
      <w:bookmarkStart w:id="1" w:name="bookmark5"/>
    </w:p>
    <w:p w:rsidR="00E55935" w:rsidRDefault="00E55935" w:rsidP="00E55935">
      <w:pPr>
        <w:ind w:firstLine="720"/>
        <w:jc w:val="both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E55935" w:rsidRDefault="00CE2611" w:rsidP="00E55935">
      <w:pPr>
        <w:keepNext/>
        <w:keepLines/>
        <w:widowControl w:val="0"/>
        <w:tabs>
          <w:tab w:val="left" w:pos="536"/>
        </w:tabs>
        <w:spacing w:after="214" w:line="200" w:lineRule="exact"/>
        <w:jc w:val="both"/>
        <w:outlineLvl w:val="3"/>
        <w:rPr>
          <w:rFonts w:ascii="Garamond" w:hAnsi="Garamond"/>
          <w:b/>
          <w:sz w:val="28"/>
          <w:szCs w:val="28"/>
          <w:lang w:val="sr-Latn-RS"/>
        </w:rPr>
      </w:pPr>
      <w:bookmarkStart w:id="2" w:name="bookmark7"/>
      <w:bookmarkEnd w:id="1"/>
      <w:r w:rsidRPr="00E55935">
        <w:rPr>
          <w:rFonts w:ascii="Garamond" w:hAnsi="Garamond"/>
          <w:b/>
          <w:sz w:val="28"/>
          <w:szCs w:val="28"/>
          <w:lang w:val="sr-Latn-RS"/>
        </w:rPr>
        <w:t>Anketiranje mladih</w:t>
      </w:r>
      <w:bookmarkEnd w:id="2"/>
    </w:p>
    <w:p w:rsidR="00CE2611" w:rsidRPr="00E55935" w:rsidRDefault="00CE2611" w:rsidP="00E55935">
      <w:pPr>
        <w:ind w:firstLine="600"/>
        <w:jc w:val="both"/>
        <w:rPr>
          <w:rFonts w:ascii="Garamond" w:hAnsi="Garamond" w:cstheme="minorHAnsi"/>
          <w:sz w:val="28"/>
          <w:szCs w:val="28"/>
          <w:lang w:val="sr-Latn-RS"/>
        </w:rPr>
      </w:pPr>
      <w:r w:rsidRPr="00E55935">
        <w:rPr>
          <w:rFonts w:ascii="Garamond" w:hAnsi="Garamond" w:cstheme="minorHAnsi"/>
          <w:sz w:val="28"/>
          <w:szCs w:val="28"/>
          <w:lang w:val="sr-Latn-RS"/>
        </w:rPr>
        <w:t xml:space="preserve">Za potrebe izrade Akcionog plana za mlade spovedena je anketa, koju je popunilo </w:t>
      </w:r>
      <w:r w:rsidR="00117023">
        <w:rPr>
          <w:rFonts w:ascii="Garamond" w:hAnsi="Garamond" w:cstheme="minorHAnsi"/>
          <w:sz w:val="28"/>
          <w:szCs w:val="28"/>
          <w:lang w:val="sr-Latn-RS"/>
        </w:rPr>
        <w:t>100</w:t>
      </w:r>
      <w:r w:rsidRPr="00E55935">
        <w:rPr>
          <w:rFonts w:ascii="Garamond" w:hAnsi="Garamond" w:cstheme="minorHAnsi"/>
          <w:sz w:val="28"/>
          <w:szCs w:val="28"/>
          <w:lang w:val="sr-Latn-RS"/>
        </w:rPr>
        <w:t xml:space="preserve"> mladih ispitanika sa područja plavske opštine. Anketiranje je sprovedeno radi istraživanja problema, prioriteta i potreba mladih naše opštine. Na osnovu istraživanja izvršena je analiza problema i trenutnog stanja, i izrađen </w:t>
      </w:r>
      <w:r w:rsidR="00E55935">
        <w:rPr>
          <w:rFonts w:ascii="Garamond" w:hAnsi="Garamond" w:cstheme="minorHAnsi"/>
          <w:sz w:val="28"/>
          <w:szCs w:val="28"/>
          <w:lang w:val="sr-Latn-RS"/>
        </w:rPr>
        <w:t>Lokalni a</w:t>
      </w:r>
      <w:r w:rsidRPr="00E55935">
        <w:rPr>
          <w:rFonts w:ascii="Garamond" w:hAnsi="Garamond" w:cstheme="minorHAnsi"/>
          <w:sz w:val="28"/>
          <w:szCs w:val="28"/>
          <w:lang w:val="sr-Latn-RS"/>
        </w:rPr>
        <w:t>kcioni plan za mlade u opštini Plav.</w:t>
      </w:r>
    </w:p>
    <w:p w:rsidR="00CE2611" w:rsidRPr="00E55935" w:rsidRDefault="00CE2611" w:rsidP="00CE2611">
      <w:pPr>
        <w:spacing w:line="200" w:lineRule="exact"/>
        <w:ind w:right="200"/>
        <w:jc w:val="right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E55935" w:rsidRDefault="00CE2611" w:rsidP="00CE2611">
      <w:pPr>
        <w:spacing w:line="200" w:lineRule="exact"/>
        <w:ind w:right="200"/>
        <w:jc w:val="right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E55935" w:rsidRDefault="00CE2611" w:rsidP="00CE2611">
      <w:pPr>
        <w:spacing w:line="200" w:lineRule="exact"/>
        <w:ind w:right="200"/>
        <w:jc w:val="right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E55935" w:rsidRDefault="00CE2611" w:rsidP="00CE2611">
      <w:pPr>
        <w:spacing w:line="200" w:lineRule="exact"/>
        <w:ind w:right="200"/>
        <w:jc w:val="right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E55935" w:rsidRDefault="00CE2611" w:rsidP="00CE2611">
      <w:pPr>
        <w:spacing w:line="200" w:lineRule="exact"/>
        <w:ind w:right="200"/>
        <w:jc w:val="right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E55935" w:rsidRDefault="00CE2611" w:rsidP="00CE2611">
      <w:pPr>
        <w:spacing w:line="200" w:lineRule="exact"/>
        <w:ind w:right="200"/>
        <w:jc w:val="right"/>
        <w:rPr>
          <w:rFonts w:ascii="Garamond" w:hAnsi="Garamond" w:cstheme="minorHAnsi"/>
          <w:sz w:val="28"/>
          <w:szCs w:val="28"/>
          <w:lang w:val="sr-Latn-RS"/>
        </w:rPr>
      </w:pPr>
    </w:p>
    <w:p w:rsidR="00CE2611" w:rsidRPr="00CE2611" w:rsidRDefault="00CE2611" w:rsidP="00E55935">
      <w:pPr>
        <w:rPr>
          <w:rFonts w:ascii="Garamond" w:hAnsi="Garamond"/>
          <w:noProof/>
          <w:sz w:val="24"/>
          <w:szCs w:val="24"/>
          <w:lang w:val="sr-Latn-RS"/>
        </w:rPr>
        <w:sectPr w:rsidR="00CE2611" w:rsidRPr="00CE26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tblpXSpec="center" w:tblpYSpec="top"/>
        <w:tblW w:w="14598" w:type="dxa"/>
        <w:tblLayout w:type="fixed"/>
        <w:tblLook w:val="04A0" w:firstRow="1" w:lastRow="0" w:firstColumn="1" w:lastColumn="0" w:noHBand="0" w:noVBand="1"/>
      </w:tblPr>
      <w:tblGrid>
        <w:gridCol w:w="3114"/>
        <w:gridCol w:w="3901"/>
        <w:gridCol w:w="3583"/>
        <w:gridCol w:w="2126"/>
        <w:gridCol w:w="1874"/>
      </w:tblGrid>
      <w:tr w:rsidR="00546507" w:rsidRPr="00CE2611" w:rsidTr="00030336"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r-Latn-RS"/>
              </w:rPr>
            </w:pPr>
            <w:bookmarkStart w:id="4" w:name="_Toc18929590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lastRenderedPageBreak/>
              <w:t>KLJUČNI ISHOD A: MLADI OSTVARUJU EKONOMSKU I SOCIJALNU SIGURNOST KROZ OLAKŠAN PRISTUP TRŽIŠTU RADA I STICANJE ZAPOSLENJA</w:t>
            </w:r>
            <w:bookmarkEnd w:id="4"/>
          </w:p>
        </w:tc>
      </w:tr>
      <w:tr w:rsidR="00546507" w:rsidRPr="00CE2611" w:rsidTr="00991D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Mjere iz nacionalne strategije za mlade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Pokazatelj uspjeha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Odgovorni za realizaciju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Izvor finansiranja i budžet</w:t>
            </w:r>
          </w:p>
        </w:tc>
      </w:tr>
      <w:tr w:rsidR="00030336" w:rsidRPr="00CE2611" w:rsidTr="00991D49">
        <w:trPr>
          <w:trHeight w:val="21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30336" w:rsidRPr="00CE2611" w:rsidRDefault="00030336" w:rsidP="00030336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A1. Otklanjanje  barijera za pristup tržištu rada svim mladima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6F3CDD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A1.1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.Organizovanje posjeta mladih sajmovima na temu zapošljavanja.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030336" w:rsidP="00546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Broj posjeta sajmovima koji je na godišnjem nivou organizovan. </w:t>
            </w:r>
          </w:p>
          <w:p w:rsidR="00030336" w:rsidRPr="00CE2611" w:rsidRDefault="00991D49" w:rsidP="00991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Minimum 20 do 50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mladih godišnje prisustvovalo ovim sajmovima.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Lokalna samouprava u saradnji sa organizatorima događaja (sajmova) i  obrazovnim ustanovama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</w:p>
          <w:p w:rsidR="00030336" w:rsidRPr="00CE2611" w:rsidRDefault="00AB4B5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(troškovi prevoza do mjesta održavanja sajmova)</w:t>
            </w:r>
          </w:p>
          <w:p w:rsidR="00D954B5" w:rsidRPr="00CE2611" w:rsidRDefault="00D954B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1000€</w:t>
            </w:r>
          </w:p>
        </w:tc>
      </w:tr>
      <w:tr w:rsidR="006D5779" w:rsidRPr="00CE2611" w:rsidTr="00CE2611">
        <w:trPr>
          <w:trHeight w:val="92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D5779" w:rsidRPr="00CE2611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A2.1. Podrška sekcija u školama o preduzetništvu.</w:t>
            </w:r>
          </w:p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6D5779" w:rsidRPr="00CE2611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škola koje imaju aktivne sekcije</w:t>
            </w:r>
          </w:p>
          <w:p w:rsidR="006D5779" w:rsidRPr="00CE2611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Minimum 30 mladih godišnje obuhvaćeno ovim sekcijam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030336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Lokalna samouprava u saradnji sa školama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Redovna budžetska sredstva škole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i 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budžet opštine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300€ </w:t>
            </w:r>
          </w:p>
        </w:tc>
      </w:tr>
      <w:tr w:rsidR="006D5779" w:rsidRPr="00CE2611" w:rsidTr="00CE2611">
        <w:trPr>
          <w:trHeight w:val="20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D5779" w:rsidRPr="00CE2611" w:rsidRDefault="006D5779" w:rsidP="003D3E65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A2. Podrška razvoju preduzetništva mladih</w:t>
            </w:r>
          </w:p>
          <w:p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  <w:p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  <w:p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A2.2.Organizovanje takmičenja za mlade u izradi biznis plana i najboljeg proizvoda primjenjivog u  Plavu.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Sprovedeno minimum jedno takmičenje za mlade sa temom izrade biznis planova. </w:t>
            </w:r>
          </w:p>
          <w:p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zainteresovanih i prijavljenih mladih.</w:t>
            </w:r>
          </w:p>
          <w:p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Broj razvijenih i broj nagrađenih biznis planova.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CE2611" w:rsidRDefault="006D577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Opština Plav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Opštinski budžet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200€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6D5779" w:rsidRPr="00CE2611" w:rsidTr="00CE2611">
        <w:trPr>
          <w:trHeight w:val="12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D5779" w:rsidRPr="00CE2611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6D577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Ukupno </w:t>
            </w:r>
            <w:r w:rsidR="003D3E65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>3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 aktivnosti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6D5779" w:rsidP="003D3E65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6D5779" w:rsidP="006D577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1500€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F01D4C" w:rsidRPr="00CE2611" w:rsidRDefault="00F01D4C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F01D4C" w:rsidRPr="00CE2611" w:rsidRDefault="00F01D4C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D954B5" w:rsidRPr="00CE2611" w:rsidRDefault="00D954B5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tbl>
      <w:tblPr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3"/>
        <w:gridCol w:w="3825"/>
        <w:gridCol w:w="2951"/>
        <w:gridCol w:w="2268"/>
        <w:gridCol w:w="1984"/>
      </w:tblGrid>
      <w:tr w:rsidR="00546507" w:rsidRPr="00CE2611" w:rsidTr="00D954B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r-Latn-RS"/>
              </w:rPr>
            </w:pPr>
            <w:bookmarkStart w:id="5" w:name="_Toc18929591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KLJUČNI ISHOD B: MLADI IMAJU PRISTUP KVALITETNOM OBRAZOVANJU</w:t>
            </w:r>
            <w:bookmarkEnd w:id="5"/>
          </w:p>
        </w:tc>
      </w:tr>
      <w:tr w:rsidR="00546507" w:rsidRPr="00CE2611" w:rsidTr="00D954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Mjere iz nacionalne strategije za mlade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Pokazatelj uspjeha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Odgovorni za realizaciju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ind w:right="-136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Izvori finansiranja </w:t>
            </w:r>
          </w:p>
        </w:tc>
      </w:tr>
      <w:tr w:rsidR="00546507" w:rsidRPr="00CE2611" w:rsidTr="00D954B5">
        <w:trPr>
          <w:trHeight w:val="47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B1. Podrška razvoju neformalnog učenja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D954B5">
            <w:pPr>
              <w:suppressAutoHyphens/>
              <w:spacing w:after="0" w:line="240" w:lineRule="auto"/>
              <w:contextualSpacing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B1.1. Sprovođenje programa neformalnog učenja za</w:t>
            </w:r>
            <w:r w:rsidR="00D954B5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mlade (organizovanje seminara)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</w:t>
            </w:r>
            <w:r w:rsidR="00D954B5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roj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obuka/seminara/radionica organizovanih u 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Plav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u za mlade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Broj mladih obuhvaćenih ovim progamima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Organizacije civilnog društva, obrazovne institucije,opština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Opštinski budžet</w:t>
            </w:r>
          </w:p>
          <w:p w:rsidR="00546507" w:rsidRPr="00CE2611" w:rsidRDefault="00D954B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5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00€ 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546507" w:rsidRPr="00CE2611" w:rsidTr="00D954B5">
        <w:trPr>
          <w:trHeight w:val="68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01D4C" w:rsidP="00F01D4C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B1.2. </w:t>
            </w:r>
            <w:r w:rsidRPr="00CE2611">
              <w:rPr>
                <w:rStyle w:val="Bodytext28"/>
                <w:rFonts w:ascii="Garamond" w:hAnsi="Garamond"/>
                <w:b w:val="0"/>
                <w:sz w:val="24"/>
                <w:szCs w:val="24"/>
                <w:lang w:val="sr-Latn-RS"/>
              </w:rPr>
              <w:t>Organizovanje radionica i kviza znanja o poznavanju svoje opštine ( jednom godišnje 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01D4C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Učenici srednje škole</w:t>
            </w:r>
          </w:p>
          <w:p w:rsidR="00F01D4C" w:rsidRPr="00CE2611" w:rsidRDefault="00F01D4C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Minimum 50 mladih godišnje obuhvaćeno ovim sekcijam</w:t>
            </w:r>
          </w:p>
          <w:p w:rsidR="00F01D4C" w:rsidRPr="00CE2611" w:rsidRDefault="00F01D4C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učesnika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63231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-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Opština Plav – Sekretarijat za opštu upravu I društvene djelatnosti</w:t>
            </w:r>
          </w:p>
          <w:p w:rsidR="00F01D4C" w:rsidRPr="00CE2611" w:rsidRDefault="00F63231" w:rsidP="00F6323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-</w:t>
            </w:r>
            <w:r w:rsidR="00B60FF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obrazovne institucije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01D4C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r-Latn-RS"/>
              </w:rPr>
              <w:t>Opštinski budžet</w:t>
            </w:r>
          </w:p>
          <w:p w:rsidR="00F01D4C" w:rsidRPr="00CE2611" w:rsidRDefault="00F01D4C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r-Latn-RS"/>
              </w:rPr>
              <w:t>500€</w:t>
            </w:r>
          </w:p>
        </w:tc>
      </w:tr>
      <w:tr w:rsidR="00F01D4C" w:rsidRPr="00CE2611" w:rsidTr="00D954B5">
        <w:trPr>
          <w:trHeight w:val="5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1D4C" w:rsidRPr="00CE2611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B2. Unapređenje kvaliteta organizacije, realizacije i vrednovanja  praktičnog  obrazovanja  u stručnim školama i univezitetima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B2.1. Unapređenje saradnje obrazovnog sistema i privrednog sektora.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B6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Minimum jedan sastanak na godišnjem nivou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Srednje škole, fakulteti uz posredstvo Opštine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F01D4C" w:rsidRPr="00CE2611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1D4C" w:rsidRPr="00CE2611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B3. Razvoj socio-emocionalnih vještina mladih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F6323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B3.1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. Snimanje promotivnih video sadržaja koji će pokazivati značaj obrazovanja i njegov doprinos kvalitetu života, sa mladima u glavnoj ulozi.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F01D4C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Snimljena mimimum jedna kratka video forma godišnje</w:t>
            </w:r>
          </w:p>
          <w:p w:rsidR="00F01D4C" w:rsidRPr="00CE2611" w:rsidRDefault="00F01D4C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Broj pregleda na internetu </w:t>
            </w:r>
          </w:p>
          <w:p w:rsidR="00F01D4C" w:rsidRPr="00CE2611" w:rsidRDefault="00F01D4C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mladih koji su uživo vidjeli video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Obrazovane institucije (škole, fakulteti) u saradnji sa organizacijama civilnog društva, institucijama kulture uz podršku Opštine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Redovna budžetska sredstva</w:t>
            </w:r>
          </w:p>
          <w:p w:rsidR="00F01D4C" w:rsidRPr="00CE2611" w:rsidRDefault="00F63231" w:rsidP="00F6323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Opštinski budžet 5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00€</w:t>
            </w:r>
          </w:p>
        </w:tc>
      </w:tr>
      <w:tr w:rsidR="003D3E65" w:rsidRPr="00CE2611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>Ukupno 4  aktivnosti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ab/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3D3E65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1.500€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3D3E65" w:rsidRPr="00CE2611" w:rsidRDefault="003D3E65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1864"/>
        <w:gridCol w:w="2018"/>
      </w:tblGrid>
      <w:tr w:rsidR="00546507" w:rsidRPr="00CE2611" w:rsidTr="00613AE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r-Latn-RS"/>
              </w:rPr>
            </w:pPr>
            <w:bookmarkStart w:id="6" w:name="_Toc18929592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lastRenderedPageBreak/>
              <w:t>KLJUČNI ISHOD C: MLADI SU AKTIVNI GRAĐANI, UKLJUČENI, MOTIVISANI, PROAKTIVNI I UČESTVUJU U PROCESIMA DONOŠENJA ODLUKA, RAZVOJA ZAJEDNICE, U KREIRANJU POLITIKA I NJIHOVOM SPROVOĐENJU</w:t>
            </w:r>
            <w:bookmarkEnd w:id="6"/>
          </w:p>
        </w:tc>
      </w:tr>
      <w:tr w:rsidR="00546507" w:rsidRPr="00CE2611" w:rsidTr="003D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Mjere iz nacionalne strategije za mlade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Pokazatelj uspjeha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Odgovorni za realizaciju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Izvori finansiranja</w:t>
            </w:r>
          </w:p>
        </w:tc>
      </w:tr>
      <w:tr w:rsidR="003D3E65" w:rsidRPr="00CE2611" w:rsidTr="00F63231">
        <w:trPr>
          <w:gridAfter w:val="4"/>
          <w:wAfter w:w="11482" w:type="dxa"/>
          <w:trHeight w:val="4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C1. Razvoj kulture učešća (participacije) mladih </w:t>
            </w:r>
          </w:p>
          <w:p w:rsidR="003D3E65" w:rsidRPr="00CE2611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</w:tr>
      <w:tr w:rsidR="00546507" w:rsidRPr="00CE2611" w:rsidTr="003D3E6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F6323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C1.1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. Organizovanje obuka mladih na temu participacije (u donošenju odluka, razvoju zajednice i sl.)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D8768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Broj mladih koji se uključuju u proces planiranja i sprovođenja lokalnih politika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Lokalna samouprava,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</w:t>
            </w:r>
            <w:r w:rsidR="00F63231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rganizacije 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civilnog društva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500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€(troškovi organizovanja obuke, troškovi predavača,)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546507" w:rsidRPr="00CE2611" w:rsidTr="003D3E65">
        <w:trPr>
          <w:trHeight w:val="23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C1.2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. Promocija učešća mladih u procesima donošenja odluka.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Sprovedena minimum jedna kampanja godišnje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Lokalna samouprava i organizacije civilnog društva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500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€ (info brošure,promo materijal) Donatorska sredstva</w:t>
            </w:r>
          </w:p>
        </w:tc>
      </w:tr>
      <w:tr w:rsidR="003D3E65" w:rsidRPr="00CE2611" w:rsidTr="00F63231">
        <w:trPr>
          <w:gridAfter w:val="4"/>
          <w:wAfter w:w="11482" w:type="dxa"/>
          <w:trHeight w:val="4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D3E65" w:rsidRPr="00CE2611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</w:tr>
      <w:tr w:rsidR="00546507" w:rsidRPr="00CE2611" w:rsidTr="003D3E65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C2. Obezbjeđivanje mehanizama / sistema za njegovanje aktivizma </w:t>
            </w:r>
          </w:p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AC679F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  <w:t>C2.1</w:t>
            </w:r>
            <w:r w:rsidR="00546507" w:rsidRPr="00CE2611"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  <w:t>. Podrška radu volonterskih klubova u okviru organizacija civilnog društva, škola i sl.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Podržan rad minimum jednog volonterskog i jednom omladinskog kluba godišnje. 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Programima ovih klubova buhvaćeno minimum 180 mladih.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Lokalna samouprava u saradnji sa organizacijama civilnog društva 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</w:p>
          <w:p w:rsidR="00546507" w:rsidRPr="00CE2611" w:rsidRDefault="00AC679F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300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€ (sufinansiranje aktivnosti)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546507" w:rsidRPr="00CE2611" w:rsidTr="003D3E65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C3.Promocija omladinske mobilnosti i aktivizma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  <w:t xml:space="preserve">C3.1.Posredovanje u dobijanju 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Evropske omladinske kartica (EYCA) koja omogućava mladima uzrasta 13-29 godina da koriste preko 10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0 popusta u Crnoj Gori i preko 5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0.000 popusta u čitavoj Evropi</w:t>
            </w:r>
            <w:r w:rsidRPr="00CE2611"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prijavljenih mladih za dobijanje kartice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izdatih kartica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Opština Plav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</w:p>
          <w:p w:rsidR="00546507" w:rsidRPr="00CE2611" w:rsidRDefault="003D3E6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00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€ (brendiranje kartice)</w:t>
            </w:r>
          </w:p>
        </w:tc>
      </w:tr>
      <w:tr w:rsidR="00546507" w:rsidRPr="00CE2611" w:rsidTr="003D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right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Ukupno </w:t>
            </w:r>
            <w:r w:rsidR="00AC679F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>4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 aktivnosti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AC679F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1.5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00€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tbl>
      <w:tblPr>
        <w:tblW w:w="13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19"/>
        <w:gridCol w:w="3639"/>
        <w:gridCol w:w="3570"/>
        <w:gridCol w:w="2027"/>
        <w:gridCol w:w="1635"/>
      </w:tblGrid>
      <w:tr w:rsidR="00546507" w:rsidRPr="00CE2611" w:rsidTr="003D3E65">
        <w:trPr>
          <w:trHeight w:val="1003"/>
        </w:trPr>
        <w:tc>
          <w:tcPr>
            <w:tcW w:w="1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r-Latn-RS"/>
              </w:rPr>
            </w:pPr>
            <w:bookmarkStart w:id="7" w:name="_Toc18929593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lastRenderedPageBreak/>
              <w:t>KLJUČNI ISHOD D:</w:t>
            </w: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ab/>
              <w:t xml:space="preserve"> MLADI SU DOBROG ZDRAVLJA, BEZBJEDNI, IMAJU PRISTUP ADEKVATNOM SISTEMU PODRŠKE ZA TRANZICIJU U ODRASLO DOBA I SAMOREALIZACIJU, SAMOSVJESNI SU, INOVATIVNI, POKAZUJU INICIJATIVU I PRIHVATAJU RAZLIČITOSTI</w:t>
            </w:r>
            <w:bookmarkEnd w:id="7"/>
          </w:p>
        </w:tc>
      </w:tr>
      <w:tr w:rsidR="00546507" w:rsidRPr="00CE2611" w:rsidTr="003D3E65">
        <w:trPr>
          <w:trHeight w:val="57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Mjere iz nacionalne strategije za mlade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Pokazatelj uspjeha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Odgovorni za realizaciju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Izvori finansiranja</w:t>
            </w:r>
          </w:p>
        </w:tc>
      </w:tr>
      <w:tr w:rsidR="00546507" w:rsidRPr="00CE2611" w:rsidTr="003D3E65">
        <w:trPr>
          <w:trHeight w:val="29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D1. Uspostavljanje efikasnih međusektorskih informativno-savjetodavnih tijela za mlade i roditelje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</w:tr>
      <w:tr w:rsidR="00546507" w:rsidRPr="00CE2611" w:rsidTr="003D3E65">
        <w:trPr>
          <w:trHeight w:val="126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D1.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. Sprovođenje edukativnih radionica za mlade i roditelje na temu vršnjačkog nasilja i online nasilja.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Broj realizovanih radionica 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mladih učesnika radionica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roditelja obuhvaćenih radioanicama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MUP, CSR, škole, organizacije civilnog društva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Redovna budžetska sredstva </w:t>
            </w:r>
          </w:p>
        </w:tc>
      </w:tr>
      <w:tr w:rsidR="00546507" w:rsidRPr="00CE2611" w:rsidTr="003D3E65">
        <w:trPr>
          <w:trHeight w:val="1987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D2. Razvoj omladinskog rada kao podrške za tranziciju ka autonomiji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Arial"/>
                <w:noProof/>
                <w:sz w:val="24"/>
                <w:szCs w:val="24"/>
                <w:lang w:val="sr-Latn-RS"/>
              </w:rPr>
              <w:t xml:space="preserve">D2.1. Osnivanje i rad omladinskog centar 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i organizovanje predavanja, tribina, radionica na teme važne mladima za proces tranzicije ka odraslosti i autonomiji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Adaptiran prostor za rad omladinskog centra. 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Angažovana minimum jedna osoba za koordinaciju rada centra.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događaja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Broj obuhvaćenih mladih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Lokalna samouprava 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u saradnji sa organizacijama civilnog društva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Opštinski budžet</w:t>
            </w:r>
          </w:p>
          <w:p w:rsidR="00546507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1000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€ (zakup I opremanje prostora)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546507" w:rsidRPr="00CE2611" w:rsidTr="003D3E65">
        <w:trPr>
          <w:trHeight w:val="295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</w:tr>
      <w:tr w:rsidR="00546507" w:rsidRPr="00CE2611" w:rsidTr="003D3E65">
        <w:trPr>
          <w:trHeight w:val="222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D3. Podrška psiho-fizičkom razvoju i očuvanju zdravlja mladih </w:t>
            </w: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5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D3.1. Psihološko savjetovalište za mlade sa ciljem preveniranja i očuvanja zdravlja mladih.</w:t>
            </w: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Obuhvaćeno minimum 30 mladih na godišnjem nivou.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Lokalna samouprava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500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€ (angažovanje stručnjaka koji će realizovati ovu aktivnost)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AC679F" w:rsidRPr="00CE2611" w:rsidTr="003D3E65">
        <w:trPr>
          <w:trHeight w:val="337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C679F" w:rsidRPr="00CE2611" w:rsidRDefault="00AC679F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>Ukupno 3 aktivnosti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AC679F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AC679F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1.500€</w:t>
            </w:r>
          </w:p>
        </w:tc>
      </w:tr>
      <w:tr w:rsidR="003D3E65" w:rsidRPr="00CE2611" w:rsidTr="003D3E65">
        <w:trPr>
          <w:gridAfter w:val="4"/>
          <w:wAfter w:w="10871" w:type="dxa"/>
          <w:trHeight w:val="451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3E65" w:rsidRPr="00CE2611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</w:tr>
      <w:tr w:rsidR="003D3E65" w:rsidRPr="00CE2611" w:rsidTr="003D3E65">
        <w:trPr>
          <w:gridAfter w:val="4"/>
          <w:wAfter w:w="10871" w:type="dxa"/>
          <w:trHeight w:val="49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tbl>
      <w:tblPr>
        <w:tblW w:w="145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2430"/>
        <w:gridCol w:w="1447"/>
      </w:tblGrid>
      <w:tr w:rsidR="00546507" w:rsidRPr="00CE2611" w:rsidTr="00613AED">
        <w:tc>
          <w:tcPr>
            <w:tcW w:w="14596" w:type="dxa"/>
            <w:gridSpan w:val="5"/>
            <w:shd w:val="clear" w:color="auto" w:fill="E36C0A"/>
          </w:tcPr>
          <w:p w:rsidR="00546507" w:rsidRPr="00CE2611" w:rsidRDefault="00546507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  <w:lang w:val="sr-Latn-RS"/>
              </w:rPr>
            </w:pPr>
            <w:bookmarkStart w:id="8" w:name="_Toc18929594"/>
            <w:r w:rsidRPr="00CE2611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lastRenderedPageBreak/>
              <w:t>KLJUČNI ISHOD E: MLADI IMAJU PRISTUP KVALITETNIM KULTURNIM I MEDIJSKIM SADRŽAJIMA KAO KREATORI I KONZUMENTI</w:t>
            </w:r>
            <w:bookmarkEnd w:id="8"/>
          </w:p>
        </w:tc>
      </w:tr>
      <w:tr w:rsidR="00546507" w:rsidRPr="00CE2611" w:rsidTr="00613AED">
        <w:tc>
          <w:tcPr>
            <w:tcW w:w="3119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Mjere iz nacionalne strategije za mlade</w:t>
            </w:r>
          </w:p>
        </w:tc>
        <w:tc>
          <w:tcPr>
            <w:tcW w:w="3820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3780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Pokazatelj uspjeha</w:t>
            </w:r>
          </w:p>
        </w:tc>
        <w:tc>
          <w:tcPr>
            <w:tcW w:w="2430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Odgovorni za realizaciju</w:t>
            </w:r>
          </w:p>
        </w:tc>
        <w:tc>
          <w:tcPr>
            <w:tcW w:w="1447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Izvori finansiranja</w:t>
            </w:r>
          </w:p>
        </w:tc>
      </w:tr>
      <w:tr w:rsidR="00546507" w:rsidRPr="00CE2611" w:rsidTr="00613AED">
        <w:tc>
          <w:tcPr>
            <w:tcW w:w="3119" w:type="dxa"/>
            <w:vMerge w:val="restart"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E1. Podrška mladim kreatorima kulture i medijskih sadržaja</w:t>
            </w: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780" w:type="dxa"/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780" w:type="dxa"/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</w:tcPr>
          <w:p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E1.1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. Obezbjeđivanje/ustupanje prostora za rad neakademskih mladih umjetnika/ca. </w:t>
            </w:r>
          </w:p>
        </w:tc>
        <w:tc>
          <w:tcPr>
            <w:tcW w:w="3780" w:type="dxa"/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Minimum jedan prostor ustupljen za rad mladih umjetnika.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Broj umjetnika/ca.</w:t>
            </w:r>
          </w:p>
        </w:tc>
        <w:tc>
          <w:tcPr>
            <w:tcW w:w="2430" w:type="dxa"/>
          </w:tcPr>
          <w:p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Centar za kulturu Plav</w:t>
            </w: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</w:tcPr>
          <w:p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E1.2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. Podrška radu pozorišnih sekcija koje funkcionišu u okviru škola.</w:t>
            </w:r>
          </w:p>
        </w:tc>
        <w:tc>
          <w:tcPr>
            <w:tcW w:w="3780" w:type="dxa"/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Broj sekcija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Broj mladih uključenih u rad sekcija.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Broj predstava.</w:t>
            </w:r>
          </w:p>
        </w:tc>
        <w:tc>
          <w:tcPr>
            <w:tcW w:w="2430" w:type="dxa"/>
          </w:tcPr>
          <w:p w:rsidR="00576743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Škole, </w:t>
            </w:r>
          </w:p>
          <w:p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Centar za kulturu Plav</w:t>
            </w:r>
          </w:p>
        </w:tc>
        <w:tc>
          <w:tcPr>
            <w:tcW w:w="1447" w:type="dxa"/>
          </w:tcPr>
          <w:p w:rsidR="00546507" w:rsidRPr="00CE2611" w:rsidRDefault="00546507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Redovna budžetska sredstva 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500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€ (po zahtjevu)</w:t>
            </w:r>
          </w:p>
        </w:tc>
      </w:tr>
      <w:tr w:rsidR="00546507" w:rsidRPr="00CE2611" w:rsidTr="00613AED">
        <w:tc>
          <w:tcPr>
            <w:tcW w:w="3119" w:type="dxa"/>
            <w:vMerge w:val="restart"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E2. Obezbjeđivanje jednakog pristupa kulturnim sadržajima za sve mlade</w:t>
            </w: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E2.1. Prikazivanje filmova za mlade po simboličnim cijenama ili besplatno.</w:t>
            </w:r>
          </w:p>
        </w:tc>
        <w:tc>
          <w:tcPr>
            <w:tcW w:w="3780" w:type="dxa"/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Broj filmova 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Interesovanje mladih tj. broj mladih posjetilaca. </w:t>
            </w:r>
          </w:p>
        </w:tc>
        <w:tc>
          <w:tcPr>
            <w:tcW w:w="2430" w:type="dxa"/>
          </w:tcPr>
          <w:p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Centar za kulturu Plav</w:t>
            </w: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780" w:type="dxa"/>
          </w:tcPr>
          <w:p w:rsidR="00546507" w:rsidRPr="00CE2611" w:rsidRDefault="00546507" w:rsidP="00576743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</w:tr>
      <w:tr w:rsidR="00546507" w:rsidRPr="00CE2611" w:rsidTr="00613AED">
        <w:trPr>
          <w:trHeight w:val="481"/>
        </w:trPr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</w:tcPr>
          <w:p w:rsidR="00546507" w:rsidRPr="00CE2611" w:rsidRDefault="00576743" w:rsidP="0057674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E2.1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. Upoznavanje sa kulturnim različitostima </w:t>
            </w:r>
            <w:r w:rsidR="00030336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 Plav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a: Manifestacija „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Drugarski i složno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“ (posjete kulturnim znamenitostima urbanog i ruralnog dijela opštine </w:t>
            </w:r>
            <w:r w:rsidR="00030336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 Plav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3780" w:type="dxa"/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Sproveden minimum jedan program godišnje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Interesovanje mladih tj. broj mladih obuhvaćen programom</w:t>
            </w:r>
          </w:p>
        </w:tc>
        <w:tc>
          <w:tcPr>
            <w:tcW w:w="2430" w:type="dxa"/>
          </w:tcPr>
          <w:p w:rsidR="00546507" w:rsidRPr="00CE2611" w:rsidRDefault="00576743" w:rsidP="0057674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Centar za kulturu Plav </w:t>
            </w:r>
            <w:r w:rsidR="00030336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Plav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, mjesne zajednice, škole,</w:t>
            </w:r>
            <w:r w:rsidR="00546507" w:rsidRPr="00CE2611">
              <w:rPr>
                <w:rFonts w:ascii="Garamond" w:hAnsi="Garamond"/>
                <w:sz w:val="24"/>
                <w:szCs w:val="24"/>
                <w:lang w:val="sr-Latn-RS"/>
              </w:rPr>
              <w:t xml:space="preserve"> o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rganizacije civilnog društva, TO,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lokalna samouprava</w:t>
            </w: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Opštinski budžet </w:t>
            </w:r>
            <w:r w:rsidR="00576743"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200</w:t>
            </w: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 xml:space="preserve"> € (troškovi prevoza)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546507" w:rsidRPr="00CE2611" w:rsidTr="00613AED">
        <w:trPr>
          <w:trHeight w:val="70"/>
        </w:trPr>
        <w:tc>
          <w:tcPr>
            <w:tcW w:w="3119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20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right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>Ukupno</w:t>
            </w:r>
            <w:r w:rsidR="00576743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 4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r-Latn-RS"/>
              </w:rPr>
              <w:t xml:space="preserve">  aktivnosti</w:t>
            </w:r>
          </w:p>
        </w:tc>
        <w:tc>
          <w:tcPr>
            <w:tcW w:w="3780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447" w:type="dxa"/>
            <w:shd w:val="clear" w:color="auto" w:fill="948A54"/>
          </w:tcPr>
          <w:p w:rsidR="00546507" w:rsidRPr="00CE2611" w:rsidRDefault="00576743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700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€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576743" w:rsidRPr="00CE2611" w:rsidRDefault="00576743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576743" w:rsidRPr="00CE2611" w:rsidRDefault="00576743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p w:rsidR="00576743" w:rsidRPr="00CE2611" w:rsidRDefault="00576743" w:rsidP="00546507">
      <w:pPr>
        <w:rPr>
          <w:rFonts w:ascii="Garamond" w:hAnsi="Garamond"/>
          <w:noProof/>
          <w:sz w:val="24"/>
          <w:szCs w:val="24"/>
          <w:lang w:val="sr-Latn-RS"/>
        </w:rPr>
      </w:pPr>
    </w:p>
    <w:tbl>
      <w:tblPr>
        <w:tblW w:w="14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42"/>
        <w:gridCol w:w="3730"/>
        <w:gridCol w:w="3548"/>
        <w:gridCol w:w="1984"/>
        <w:gridCol w:w="1936"/>
      </w:tblGrid>
      <w:tr w:rsidR="00546507" w:rsidRPr="00CE2611" w:rsidTr="006D5779">
        <w:trPr>
          <w:trHeight w:val="442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  <w:lang w:val="sr-Latn-RS"/>
              </w:rPr>
            </w:pPr>
            <w:bookmarkStart w:id="9" w:name="_Toc18929595"/>
            <w:r w:rsidRPr="00CE2611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lastRenderedPageBreak/>
              <w:t>KLJUČNI ISHOD F: USPOSTAVLJEN JE NORMATIVNO PRAVNI OKVIR ZA SPROVOĐENJE OMLADINSKE POLITIKE NA LOKALNOM NIVOU</w:t>
            </w:r>
            <w:bookmarkEnd w:id="9"/>
          </w:p>
        </w:tc>
      </w:tr>
      <w:tr w:rsidR="00546507" w:rsidRPr="00CE2611" w:rsidTr="006D5779">
        <w:trPr>
          <w:trHeight w:val="38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Mjere iz nacionalne strategije za mlade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Pokazatelj uspjeha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Odgovorni za realizaciju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r-Latn-RS"/>
              </w:rPr>
              <w:t>Izvori finansiranja</w:t>
            </w:r>
          </w:p>
        </w:tc>
      </w:tr>
      <w:tr w:rsidR="00546507" w:rsidRPr="00CE2611" w:rsidTr="006D5779">
        <w:trPr>
          <w:trHeight w:val="1361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F1. Jačanje kapaciteta lokalne samouprave  za razvoj, sprovođenje i monitoring omladinske politike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F1.1. Osnivanje i podrška radu Lokalnog Savjeta za mlade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Akt o obrazovanju Lokalnog savjeta za mlade</w:t>
            </w:r>
          </w:p>
          <w:p w:rsidR="00546507" w:rsidRPr="00CE2611" w:rsidRDefault="006D5779" w:rsidP="005465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Osni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van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je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 Savjet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a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 za mlade</w:t>
            </w:r>
          </w:p>
          <w:p w:rsidR="00546507" w:rsidRPr="00CE2611" w:rsidRDefault="00546507" w:rsidP="00576743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Lokalna samouprava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Redovna budžetsk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a sredstva lokalne samouprave (10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00€ nadoknada za članove savjeta)</w:t>
            </w:r>
          </w:p>
        </w:tc>
      </w:tr>
      <w:tr w:rsidR="00546507" w:rsidRPr="00CE2611" w:rsidTr="006D5779">
        <w:trPr>
          <w:trHeight w:val="433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</w:tr>
      <w:tr w:rsidR="006D5779" w:rsidRPr="00CE2611" w:rsidTr="006D5779">
        <w:trPr>
          <w:trHeight w:val="203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  <w:t>F4. Unapređenje statistike na lokalnom nivou i znanja o mladima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F4.1. Formiranje baze podataka sa informacijama o organizacijama i institucijama koje sprovode programe za mlade u  Plavu.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Napraviti listu aktivnih organizacija civilnog društva koje se bave mladima i vrsti programa koje sprovode</w:t>
            </w:r>
          </w:p>
          <w:p w:rsidR="006D5779" w:rsidRPr="00CE2611" w:rsidRDefault="006D5779" w:rsidP="00576743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Prikupiti podatke o svim drugim institucijama koje se bave mladima, i vrsti programa koje  sprovode.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Lokalna samouprava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: Radni tim za praćenje sprovođenja Strategije i akcionog plana za mlade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6D5779" w:rsidRPr="00CE2611" w:rsidTr="006D5779">
        <w:trPr>
          <w:trHeight w:val="203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D5779" w:rsidRPr="00CE2611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7674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F4.2. Istraživanje o potrebama mladih u  Plavu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465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Sprovedeno minimum jedno istraživanje o položaju mladih (putem ankete, intervjua ili sl) u dvije godine.</w:t>
            </w:r>
          </w:p>
          <w:p w:rsidR="006D5779" w:rsidRPr="00CE2611" w:rsidRDefault="006D5779" w:rsidP="00576743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Obuhvaćeno minimum 100 mladih.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Lokalna samouprava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 xml:space="preserve"> u saradnji sa organizacijama civilnog društva I školama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Opštinski budžet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100€ (troškovi sprovođenja istraživanja)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</w:p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Donatorska sredstva</w:t>
            </w:r>
          </w:p>
        </w:tc>
      </w:tr>
      <w:tr w:rsidR="006D5779" w:rsidRPr="00CE2611" w:rsidTr="006D5779">
        <w:trPr>
          <w:trHeight w:val="388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  <w:p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D5779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Ukupno</w:t>
            </w:r>
          </w:p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1100€</w:t>
            </w:r>
          </w:p>
        </w:tc>
      </w:tr>
      <w:tr w:rsidR="006D5779" w:rsidRPr="00CE2611" w:rsidTr="006D5779">
        <w:trPr>
          <w:trHeight w:val="36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r-Latn-R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D577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r-Latn-RS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  <w:lang w:val="sr-Latn-RS"/>
              </w:rPr>
              <w:t>Ukupan iznos potrebin sredstava za realizaciju Akcionog plana za mlade za 2020.godinu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</w:p>
          <w:p w:rsidR="006D5779" w:rsidRPr="00CE2611" w:rsidRDefault="008E3BA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r-Latn-RS"/>
              </w:rPr>
              <w:t>7800€</w:t>
            </w:r>
          </w:p>
        </w:tc>
      </w:tr>
    </w:tbl>
    <w:p w:rsidR="00B61278" w:rsidRDefault="00B61278">
      <w:pPr>
        <w:rPr>
          <w:rFonts w:ascii="Garamond" w:hAnsi="Garamond"/>
          <w:sz w:val="24"/>
          <w:szCs w:val="24"/>
          <w:lang w:val="sr-Latn-RS"/>
        </w:rPr>
      </w:pPr>
    </w:p>
    <w:p w:rsidR="00302204" w:rsidRPr="00CE2611" w:rsidRDefault="00302204" w:rsidP="00302204">
      <w:p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lastRenderedPageBreak/>
        <w:t xml:space="preserve"> </w:t>
      </w:r>
    </w:p>
    <w:sectPr w:rsidR="00302204" w:rsidRPr="00CE2611" w:rsidSect="00F63231">
      <w:pgSz w:w="15840" w:h="12240" w:orient="landscape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70" w:rsidRDefault="00361F70" w:rsidP="00546507">
      <w:pPr>
        <w:spacing w:after="0" w:line="240" w:lineRule="auto"/>
      </w:pPr>
      <w:r>
        <w:separator/>
      </w:r>
    </w:p>
  </w:endnote>
  <w:endnote w:type="continuationSeparator" w:id="0">
    <w:p w:rsidR="00361F70" w:rsidRDefault="00361F70" w:rsidP="005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87" w:rsidRDefault="008A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4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2611" w:rsidRDefault="00CE2611" w:rsidP="00F63231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E87" w:rsidRPr="008A3E8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</w:p>
    </w:sdtContent>
  </w:sdt>
  <w:p w:rsidR="00CE2611" w:rsidRDefault="00CE2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87" w:rsidRDefault="008A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70" w:rsidRDefault="00361F70" w:rsidP="00546507">
      <w:pPr>
        <w:spacing w:after="0" w:line="240" w:lineRule="auto"/>
      </w:pPr>
      <w:r>
        <w:separator/>
      </w:r>
    </w:p>
  </w:footnote>
  <w:footnote w:type="continuationSeparator" w:id="0">
    <w:p w:rsidR="00361F70" w:rsidRDefault="00361F70" w:rsidP="0054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87" w:rsidRDefault="008A3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11" w:rsidRPr="00392CA1" w:rsidRDefault="00CE2611" w:rsidP="00392CA1">
    <w:pPr>
      <w:pStyle w:val="Header"/>
      <w:jc w:val="center"/>
      <w:rPr>
        <w:i/>
        <w:noProof/>
        <w:color w:val="943634" w:themeColor="accent2" w:themeShade="BF"/>
        <w:lang w:val="sr-Latn-ME"/>
      </w:rPr>
    </w:pPr>
    <w:r w:rsidRPr="00392CA1">
      <w:rPr>
        <w:i/>
        <w:noProof/>
        <w:color w:val="943634" w:themeColor="accent2" w:themeShade="BF"/>
        <w:lang w:val="sr-Latn-ME"/>
      </w:rPr>
      <w:t>Opština Plav, Lokalni akcioni plan za mlade za 2020.</w:t>
    </w:r>
    <w:r w:rsidR="008A3E87">
      <w:rPr>
        <w:i/>
        <w:noProof/>
        <w:color w:val="943634" w:themeColor="accent2" w:themeShade="BF"/>
        <w:lang w:val="sr-Latn-ME"/>
      </w:rPr>
      <w:t xml:space="preserve"> </w:t>
    </w:r>
    <w:bookmarkStart w:id="3" w:name="_GoBack"/>
    <w:bookmarkEnd w:id="3"/>
    <w:r w:rsidRPr="00392CA1">
      <w:rPr>
        <w:i/>
        <w:noProof/>
        <w:color w:val="943634" w:themeColor="accent2" w:themeShade="BF"/>
        <w:lang w:val="sr-Latn-ME"/>
      </w:rPr>
      <w:t>god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87" w:rsidRDefault="008A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BD7"/>
    <w:multiLevelType w:val="hybridMultilevel"/>
    <w:tmpl w:val="65D0426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CB"/>
    <w:multiLevelType w:val="hybridMultilevel"/>
    <w:tmpl w:val="D46A754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43B1B"/>
    <w:multiLevelType w:val="hybridMultilevel"/>
    <w:tmpl w:val="9A0E88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261B4"/>
    <w:multiLevelType w:val="hybridMultilevel"/>
    <w:tmpl w:val="22E0642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9A4"/>
    <w:multiLevelType w:val="multilevel"/>
    <w:tmpl w:val="1616B2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D3358"/>
    <w:multiLevelType w:val="hybridMultilevel"/>
    <w:tmpl w:val="E39EE88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19BA"/>
    <w:multiLevelType w:val="hybridMultilevel"/>
    <w:tmpl w:val="683C30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64C"/>
    <w:multiLevelType w:val="hybridMultilevel"/>
    <w:tmpl w:val="7A326B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C7F"/>
    <w:multiLevelType w:val="hybridMultilevel"/>
    <w:tmpl w:val="5A6099D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4E3"/>
    <w:multiLevelType w:val="hybridMultilevel"/>
    <w:tmpl w:val="419EA4F4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B3404"/>
    <w:multiLevelType w:val="hybridMultilevel"/>
    <w:tmpl w:val="9712FA9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F597C"/>
    <w:multiLevelType w:val="hybridMultilevel"/>
    <w:tmpl w:val="CDDE485E"/>
    <w:lvl w:ilvl="0" w:tplc="C7162A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70C16"/>
    <w:multiLevelType w:val="hybridMultilevel"/>
    <w:tmpl w:val="A652377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DC7"/>
    <w:multiLevelType w:val="hybridMultilevel"/>
    <w:tmpl w:val="C4FEF6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17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65934"/>
    <w:multiLevelType w:val="hybridMultilevel"/>
    <w:tmpl w:val="E878F48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67352"/>
    <w:multiLevelType w:val="hybridMultilevel"/>
    <w:tmpl w:val="AEC6780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4306"/>
    <w:multiLevelType w:val="hybridMultilevel"/>
    <w:tmpl w:val="1F78BBD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D1C"/>
    <w:multiLevelType w:val="hybridMultilevel"/>
    <w:tmpl w:val="270EA60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64942"/>
    <w:multiLevelType w:val="hybridMultilevel"/>
    <w:tmpl w:val="5854185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749AA"/>
    <w:multiLevelType w:val="hybridMultilevel"/>
    <w:tmpl w:val="8380269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2C32"/>
    <w:multiLevelType w:val="hybridMultilevel"/>
    <w:tmpl w:val="65D06EF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24E8D"/>
    <w:multiLevelType w:val="hybridMultilevel"/>
    <w:tmpl w:val="614C20F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38A9"/>
    <w:multiLevelType w:val="hybridMultilevel"/>
    <w:tmpl w:val="D540976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D58FD"/>
    <w:multiLevelType w:val="multilevel"/>
    <w:tmpl w:val="40127A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036B1"/>
    <w:multiLevelType w:val="hybridMultilevel"/>
    <w:tmpl w:val="C478A1E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161E5"/>
    <w:multiLevelType w:val="hybridMultilevel"/>
    <w:tmpl w:val="B6288E8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A5E13"/>
    <w:multiLevelType w:val="multilevel"/>
    <w:tmpl w:val="76E00960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266E10"/>
    <w:multiLevelType w:val="multilevel"/>
    <w:tmpl w:val="591E381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DE4093"/>
    <w:multiLevelType w:val="hybridMultilevel"/>
    <w:tmpl w:val="20B05EE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2"/>
  </w:num>
  <w:num w:numId="10">
    <w:abstractNumId w:val="7"/>
  </w:num>
  <w:num w:numId="11">
    <w:abstractNumId w:val="8"/>
  </w:num>
  <w:num w:numId="12">
    <w:abstractNumId w:val="16"/>
  </w:num>
  <w:num w:numId="13">
    <w:abstractNumId w:val="29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18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2"/>
    <w:rsid w:val="00030336"/>
    <w:rsid w:val="00117023"/>
    <w:rsid w:val="001610B6"/>
    <w:rsid w:val="00241A5E"/>
    <w:rsid w:val="00270D5F"/>
    <w:rsid w:val="002B370C"/>
    <w:rsid w:val="00302204"/>
    <w:rsid w:val="00361F70"/>
    <w:rsid w:val="00392CA1"/>
    <w:rsid w:val="003D3E65"/>
    <w:rsid w:val="00546507"/>
    <w:rsid w:val="005724C2"/>
    <w:rsid w:val="00576743"/>
    <w:rsid w:val="006106C2"/>
    <w:rsid w:val="00613AED"/>
    <w:rsid w:val="006A4233"/>
    <w:rsid w:val="006D5779"/>
    <w:rsid w:val="006F3CDD"/>
    <w:rsid w:val="0077246D"/>
    <w:rsid w:val="008317D9"/>
    <w:rsid w:val="008A3E87"/>
    <w:rsid w:val="008E3BA7"/>
    <w:rsid w:val="00956926"/>
    <w:rsid w:val="00991D49"/>
    <w:rsid w:val="00A17263"/>
    <w:rsid w:val="00AB4B59"/>
    <w:rsid w:val="00AC679F"/>
    <w:rsid w:val="00B60FFF"/>
    <w:rsid w:val="00B61278"/>
    <w:rsid w:val="00C1129C"/>
    <w:rsid w:val="00CE2611"/>
    <w:rsid w:val="00D8768D"/>
    <w:rsid w:val="00D94C1C"/>
    <w:rsid w:val="00D954B5"/>
    <w:rsid w:val="00E55935"/>
    <w:rsid w:val="00F01D4C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422A"/>
  <w15:docId w15:val="{A76B64FD-F383-4508-954D-BEE7036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07"/>
  </w:style>
  <w:style w:type="paragraph" w:styleId="Footer">
    <w:name w:val="footer"/>
    <w:basedOn w:val="Normal"/>
    <w:link w:val="Foot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7"/>
  </w:style>
  <w:style w:type="paragraph" w:styleId="ListParagraph">
    <w:name w:val="List Paragraph"/>
    <w:basedOn w:val="Normal"/>
    <w:qFormat/>
    <w:rsid w:val="00546507"/>
    <w:pPr>
      <w:ind w:left="720"/>
      <w:contextualSpacing/>
    </w:pPr>
  </w:style>
  <w:style w:type="character" w:customStyle="1" w:styleId="Bodytext28">
    <w:name w:val="Body text (2) + 8"/>
    <w:aliases w:val="5 pt,Bold,Body text (2) + 7,Body text (2) + Calibri,8,Italic,Body text (2) + 7 pt"/>
    <w:basedOn w:val="DefaultParagraphFont"/>
    <w:rsid w:val="00F01D4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ing3">
    <w:name w:val="Heading #3_"/>
    <w:basedOn w:val="DefaultParagraphFont"/>
    <w:link w:val="Heading30"/>
    <w:rsid w:val="00CE2611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CE26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Italic">
    <w:name w:val="Body text (2) + Italic"/>
    <w:basedOn w:val="DefaultParagraphFont"/>
    <w:rsid w:val="00CE26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4">
    <w:name w:val="Heading #4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Bold">
    <w:name w:val="Body text (2) + Bold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eading30">
    <w:name w:val="Heading #3"/>
    <w:basedOn w:val="Normal"/>
    <w:link w:val="Heading3"/>
    <w:rsid w:val="00CE2611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Plav1</cp:lastModifiedBy>
  <cp:revision>9</cp:revision>
  <cp:lastPrinted>2019-10-15T10:13:00Z</cp:lastPrinted>
  <dcterms:created xsi:type="dcterms:W3CDTF">2019-10-15T10:18:00Z</dcterms:created>
  <dcterms:modified xsi:type="dcterms:W3CDTF">2019-10-22T08:13:00Z</dcterms:modified>
</cp:coreProperties>
</file>